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Draft</w:t>
      </w:r>
      <w:r>
        <w:t xml:space="preserve"> </w:t>
      </w:r>
      <w:r>
        <w:t xml:space="preserve">resolution</w:t>
      </w:r>
      <w:r>
        <w:t xml:space="preserve"> </w:t>
      </w:r>
      <w:r>
        <w:t xml:space="preserve">to</w:t>
      </w:r>
      <w:r>
        <w:t xml:space="preserve"> </w:t>
      </w:r>
      <w:r>
        <w:t xml:space="preserve">the</w:t>
      </w:r>
      <w:r>
        <w:t xml:space="preserve"> </w:t>
      </w:r>
      <w:r>
        <w:t xml:space="preserve">31st</w:t>
      </w:r>
      <w:r>
        <w:t xml:space="preserve"> </w:t>
      </w:r>
      <w:r>
        <w:t xml:space="preserve">General</w:t>
      </w:r>
      <w:r>
        <w:t xml:space="preserve"> </w:t>
      </w:r>
      <w:r>
        <w:t xml:space="preserve">Assembly</w:t>
      </w:r>
      <w:r>
        <w:t xml:space="preserve"> </w:t>
      </w:r>
      <w:r>
        <w:t xml:space="preserve">(2028)</w:t>
      </w:r>
    </w:p>
    <w:p>
      <w:pPr>
        <w:pStyle w:val="Subtitle"/>
      </w:pPr>
      <w:r>
        <w:t xml:space="preserve">Study</w:t>
      </w:r>
      <w:r>
        <w:t xml:space="preserve"> </w:t>
      </w:r>
      <w:r>
        <w:t xml:space="preserve">Committee</w:t>
      </w:r>
      <w:r>
        <w:t xml:space="preserve"> </w:t>
      </w:r>
      <w:r>
        <w:t xml:space="preserve">on</w:t>
      </w:r>
      <w:r>
        <w:t xml:space="preserve"> </w:t>
      </w:r>
      <w:r>
        <w:t xml:space="preserve">Pastoral</w:t>
      </w:r>
      <w:r>
        <w:t xml:space="preserve"> </w:t>
      </w:r>
      <w:r>
        <w:t xml:space="preserve">Guidance</w:t>
      </w:r>
      <w:r>
        <w:t xml:space="preserve"> </w:t>
      </w:r>
      <w:r>
        <w:t xml:space="preserve">Concerning</w:t>
      </w:r>
      <w:r>
        <w:t xml:space="preserve"> </w:t>
      </w:r>
      <w:r>
        <w:t xml:space="preserve">Human</w:t>
      </w:r>
      <w:r>
        <w:t xml:space="preserve"> </w:t>
      </w:r>
      <w:r>
        <w:t xml:space="preserve">Sexuality</w:t>
      </w:r>
    </w:p>
    <w:p>
      <w:pPr>
        <w:pStyle w:val="FirstParagraph"/>
      </w:pPr>
      <w:r>
        <w:rPr>
          <w:iCs/>
          <w:i/>
        </w:rPr>
        <w:t xml:space="preserve">Working draft for prospective sponsors. The General Secretary assigns the resolution number. Submit by 1 December 2027 (General Assembly Standing Rule 16e, Manual ¶912).</w:t>
      </w:r>
    </w:p>
    <w:p>
      <w:pPr>
        <w:pStyle w:val="BodyText"/>
      </w:pPr>
      <w:r>
        <w:rPr>
          <w:bCs/>
          <w:b/>
        </w:rPr>
        <w:t xml:space="preserve">[Number]—Study Committee on Pastoral Guidance Concerning Human Sexuality</w:t>
      </w:r>
    </w:p>
    <w:p>
      <w:pPr>
        <w:pStyle w:val="BodyText"/>
      </w:pPr>
      <w:r>
        <w:rPr>
          <w:bCs/>
          <w:b/>
        </w:rPr>
        <w:t xml:space="preserve">Presented by:</w:t>
      </w:r>
      <w:r>
        <w:t xml:space="preserve"> </w:t>
      </w:r>
      <w:r>
        <w:t xml:space="preserve">[District Assembly or District Resolutions Committee], or [names of five or more members of the General Assembly] (Standing Rule 16).</w:t>
      </w:r>
    </w:p>
    <w:p>
      <w:pPr>
        <w:pStyle w:val="BodyText"/>
      </w:pPr>
      <w:r>
        <w:rPr>
          <w:bCs/>
          <w:b/>
        </w:rPr>
        <w:t xml:space="preserve">Type:</w:t>
      </w:r>
      <w:r>
        <w:t xml:space="preserve"> </w:t>
      </w:r>
      <w:r>
        <w:t xml:space="preserve">Non-Manual item. It proposes no change to the text of the</w:t>
      </w:r>
      <w:r>
        <w:t xml:space="preserve"> </w:t>
      </w:r>
      <w:r>
        <w:rPr>
          <w:iCs/>
          <w:i/>
        </w:rPr>
        <w:t xml:space="preserve">Manual</w:t>
      </w:r>
      <w:r>
        <w:t xml:space="preserve">.</w:t>
      </w:r>
    </w:p>
    <w:p>
      <w:pPr>
        <w:pStyle w:val="BodyText"/>
      </w:pPr>
      <w:r>
        <w:rPr>
          <w:bCs/>
          <w:b/>
        </w:rPr>
        <w:t xml:space="preserve">Entity responsible for carrying it out:</w:t>
      </w:r>
      <w:r>
        <w:t xml:space="preserve"> </w:t>
      </w:r>
      <w:r>
        <w:t xml:space="preserve">The Board of General Superintendents (Standing Rule 16f).</w:t>
      </w:r>
    </w:p>
    <w:p>
      <w:pPr>
        <w:pStyle w:val="BodyText"/>
      </w:pPr>
      <w:r>
        <w:t xml:space="preserve">RESOLVED, that the Board of General Superintendents convene a committee, representing the diversity of the denomination by region, lay and clergy, and including biblical scholars, theologians, pastors and district leaders, to study:</w:t>
      </w:r>
    </w:p>
    <w:p>
      <w:pPr>
        <w:numPr>
          <w:ilvl w:val="0"/>
          <w:numId w:val="1001"/>
        </w:numPr>
        <w:pStyle w:val="Compact"/>
      </w:pPr>
      <w:r>
        <w:t xml:space="preserve">the pastoral care of members, families and congregations affected by same-sex attraction;</w:t>
      </w:r>
    </w:p>
    <w:p>
      <w:pPr>
        <w:numPr>
          <w:ilvl w:val="0"/>
          <w:numId w:val="1001"/>
        </w:numPr>
        <w:pStyle w:val="Compact"/>
      </w:pPr>
      <w:r>
        <w:t xml:space="preserve">the guidance given to District Advisory Boards and District Ministerial Credentials Boards in such cases; and</w:t>
      </w:r>
    </w:p>
    <w:p>
      <w:pPr>
        <w:numPr>
          <w:ilvl w:val="0"/>
          <w:numId w:val="1001"/>
        </w:numPr>
        <w:pStyle w:val="Compact"/>
      </w:pPr>
      <w:r>
        <w:t xml:space="preserve">the scriptural and theological foundations of paragraph 31 of the Covenant of Christian Conduct, including the method the church has used in comparable questions of marriage and membership;</w:t>
      </w:r>
    </w:p>
    <w:p>
      <w:pPr>
        <w:pStyle w:val="FirstParagraph"/>
      </w:pPr>
      <w:r>
        <w:t xml:space="preserve">FURTHER RESOLVED, that the committee hear from pastors, district superintendents, and members and families directly affected;</w:t>
      </w:r>
    </w:p>
    <w:p>
      <w:pPr>
        <w:pStyle w:val="BodyText"/>
      </w:pPr>
      <w:r>
        <w:t xml:space="preserve">FURTHER RESOLVED, that the committee’s study neither presume nor preclude any recommendation, and that nothing in this resolution alters the</w:t>
      </w:r>
      <w:r>
        <w:t xml:space="preserve"> </w:t>
      </w:r>
      <w:r>
        <w:rPr>
          <w:iCs/>
          <w:i/>
        </w:rPr>
        <w:t xml:space="preserve">Manual</w:t>
      </w:r>
      <w:r>
        <w:t xml:space="preserve"> </w:t>
      </w:r>
      <w:r>
        <w:t xml:space="preserve">or the Covenant of Christian Conduct while the study is under way;</w:t>
      </w:r>
    </w:p>
    <w:p>
      <w:pPr>
        <w:pStyle w:val="BodyText"/>
      </w:pPr>
      <w:r>
        <w:t xml:space="preserve">FURTHER RESOLVED, that the committee report its findings, with any recommendations or resolutions, to the Board of General Superintendents, who shall report to the next General Assembly.</w:t>
      </w:r>
    </w:p>
    <w:p>
      <w:pPr>
        <w:pStyle w:val="BodyText"/>
      </w:pPr>
      <w:r>
        <w:rPr>
          <w:bCs/>
          <w:b/>
        </w:rPr>
        <w:t xml:space="preserve">COST ESTIMATE</w:t>
      </w:r>
      <w:r>
        <w:t xml:space="preserve"> </w:t>
      </w:r>
      <w:r>
        <w:t xml:space="preserve">(required by General Assembly Standing Rule 16c; Manual ¶912)</w:t>
      </w:r>
    </w:p>
    <w:p>
      <w:pPr>
        <w:pStyle w:val="BodyText"/>
      </w:pPr>
      <w:r>
        <w:t xml:space="preserve">Total cost: about 35,000 USD, using the same per-person figures as JUD-814 (2023).</w:t>
      </w:r>
    </w:p>
    <w:p>
      <w:pPr>
        <w:pStyle w:val="BodyText"/>
      </w:pPr>
      <w:r>
        <w:t xml:space="preserve">Per-person cost of one three-day physical meeting: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Cost</w:t>
            </w:r>
          </w:p>
        </w:tc>
      </w:tr>
      <w:tr>
        <w:tc>
          <w:tcPr/>
          <w:p>
            <w:pPr>
              <w:pStyle w:val="Compact"/>
              <w:jc w:val="left"/>
            </w:pPr>
            <w:r>
              <w:t xml:space="preserve">Airfare</w:t>
            </w:r>
          </w:p>
        </w:tc>
        <w:tc>
          <w:tcPr/>
          <w:p>
            <w:pPr>
              <w:pStyle w:val="Compact"/>
              <w:jc w:val="left"/>
            </w:pPr>
            <w:r>
              <w:t xml:space="preserve">$800</w:t>
            </w:r>
          </w:p>
        </w:tc>
      </w:tr>
      <w:tr>
        <w:tc>
          <w:tcPr/>
          <w:p>
            <w:pPr>
              <w:pStyle w:val="Compact"/>
              <w:jc w:val="left"/>
            </w:pPr>
            <w:r>
              <w:t xml:space="preserve">Lodging (5 nights × $125)</w:t>
            </w:r>
          </w:p>
        </w:tc>
        <w:tc>
          <w:tcPr/>
          <w:p>
            <w:pPr>
              <w:pStyle w:val="Compact"/>
              <w:jc w:val="left"/>
            </w:pPr>
            <w:r>
              <w:t xml:space="preserve">$625</w:t>
            </w:r>
          </w:p>
        </w:tc>
      </w:tr>
      <w:tr>
        <w:tc>
          <w:tcPr/>
          <w:p>
            <w:pPr>
              <w:pStyle w:val="Compact"/>
              <w:jc w:val="left"/>
            </w:pPr>
            <w:r>
              <w:t xml:space="preserve">Meals and support (3 days × $100)</w:t>
            </w:r>
          </w:p>
        </w:tc>
        <w:tc>
          <w:tcPr/>
          <w:p>
            <w:pPr>
              <w:pStyle w:val="Compact"/>
              <w:jc w:val="left"/>
            </w:pPr>
            <w:r>
              <w:t xml:space="preserve">$300</w:t>
            </w:r>
          </w:p>
        </w:tc>
      </w:tr>
      <w:tr>
        <w:tc>
          <w:tcPr/>
          <w:p>
            <w:pPr>
              <w:pStyle w:val="Compact"/>
              <w:jc w:val="left"/>
            </w:pPr>
            <w:r>
              <w:t xml:space="preserve">Contingency</w:t>
            </w:r>
          </w:p>
        </w:tc>
        <w:tc>
          <w:tcPr/>
          <w:p>
            <w:pPr>
              <w:pStyle w:val="Compact"/>
              <w:jc w:val="left"/>
            </w:pPr>
            <w:r>
              <w:t xml:space="preserve">$50</w:t>
            </w:r>
          </w:p>
        </w:tc>
      </w:tr>
      <w:tr>
        <w:tc>
          <w:tcPr/>
          <w:p>
            <w:pPr>
              <w:pStyle w:val="Compact"/>
              <w:jc w:val="left"/>
            </w:pPr>
            <w:r>
              <w:rPr>
                <w:bCs/>
                <w:b/>
              </w:rPr>
              <w:t xml:space="preserve">Total per person</w:t>
            </w:r>
          </w:p>
        </w:tc>
        <w:tc>
          <w:tcPr/>
          <w:p>
            <w:pPr>
              <w:pStyle w:val="Compact"/>
              <w:jc w:val="left"/>
            </w:pPr>
            <w:r>
              <w:rPr>
                <w:bCs/>
                <w:b/>
              </w:rPr>
              <w:t xml:space="preserve">$1,775</w:t>
            </w:r>
          </w:p>
        </w:tc>
      </w:tr>
    </w:tbl>
    <w:p>
      <w:pPr>
        <w:pStyle w:val="BodyText"/>
      </w:pPr>
      <w:r>
        <w:t xml:space="preserve">With ten members, a physical meeting costs about $17,750. Two physical meetings during the quadrennium, with all other meetings by video conference, would cost about $35,500.</w:t>
      </w:r>
    </w:p>
    <w:p>
      <w:pPr>
        <w:pStyle w:val="BodyText"/>
      </w:pPr>
      <w:r>
        <w:rPr>
          <w:bCs/>
          <w:b/>
        </w:rPr>
        <w:t xml:space="preserve">RATIONALE</w:t>
      </w:r>
    </w:p>
    <w:p>
      <w:pPr>
        <w:pStyle w:val="BodyText"/>
      </w:pPr>
      <w:r>
        <w:t xml:space="preserve">The church has twice studied a question of marriage and membership before changing its practice.</w:t>
      </w:r>
    </w:p>
    <w:p>
      <w:pPr>
        <w:numPr>
          <w:ilvl w:val="0"/>
          <w:numId w:val="1002"/>
        </w:numPr>
        <w:pStyle w:val="Compact"/>
      </w:pPr>
      <w:r>
        <w:rPr>
          <w:bCs/>
          <w:b/>
        </w:rPr>
        <w:t xml:space="preserve">1964–1972.</w:t>
      </w:r>
      <w:r>
        <w:t xml:space="preserve"> </w:t>
      </w:r>
      <w:r>
        <w:t xml:space="preserve">Two commissions authorized by successive General Assemblies studied divorce and church membership for eight years. The 1972 Assembly adopted their report (</w:t>
      </w:r>
      <w:r>
        <w:rPr>
          <w:iCs/>
          <w:i/>
        </w:rPr>
        <w:t xml:space="preserve">Herald of Holiness</w:t>
      </w:r>
      <w:r>
        <w:t xml:space="preserve">, July 19, 1972, 16–18;</w:t>
      </w:r>
      <w:r>
        <w:t xml:space="preserve"> </w:t>
      </w:r>
      <w:r>
        <w:rPr>
          <w:iCs/>
          <w:i/>
        </w:rPr>
        <w:t xml:space="preserve">Journal of the Thirtieth General Assembly</w:t>
      </w:r>
      <w:r>
        <w:t xml:space="preserve">, 2023, 15).</w:t>
      </w:r>
    </w:p>
    <w:p>
      <w:pPr>
        <w:numPr>
          <w:ilvl w:val="0"/>
          <w:numId w:val="1002"/>
        </w:numPr>
        <w:pStyle w:val="Compact"/>
      </w:pPr>
      <w:r>
        <w:rPr>
          <w:bCs/>
          <w:b/>
        </w:rPr>
        <w:t xml:space="preserve">1989–1993.</w:t>
      </w:r>
      <w:r>
        <w:t xml:space="preserve"> </w:t>
      </w:r>
      <w:r>
        <w:t xml:space="preserve">In February 1989 the General Board formed a committee</w:t>
      </w:r>
      <w:r>
        <w:t xml:space="preserve"> </w:t>
      </w:r>
      <w:r>
        <w:t xml:space="preserve">“</w:t>
      </w:r>
      <w:r>
        <w:t xml:space="preserve">to give guidance to district boards in their work with candidates for ordination.</w:t>
      </w:r>
      <w:r>
        <w:t xml:space="preserve">”</w:t>
      </w:r>
      <w:r>
        <w:t xml:space="preserve"> </w:t>
      </w:r>
      <w:r>
        <w:t xml:space="preserve">The committee commissioned a biblical and theological paper from one of the church’s New Testament scholars and reported unanimously. The 1993 Assembly adopted its report (Report of the Divorce and the Ministry Study Committee, 1993, 200–206).</w:t>
      </w:r>
    </w:p>
    <w:p>
      <w:pPr>
        <w:pStyle w:val="FirstParagraph"/>
      </w:pPr>
      <w:r>
        <w:t xml:space="preserve">In both cases the church did not change its practice by drift or by floor debate alone. It asked its scholars and pastors to study the question and report.</w:t>
      </w:r>
    </w:p>
    <w:p>
      <w:pPr>
        <w:pStyle w:val="BodyText"/>
      </w:pPr>
      <w:r>
        <w:t xml:space="preserve">Paragraph 31 itself recognizes the weight of the present question. It acknowledges that</w:t>
      </w:r>
      <w:r>
        <w:t xml:space="preserve"> </w:t>
      </w:r>
      <w:r>
        <w:t xml:space="preserve">“</w:t>
      </w:r>
      <w:r>
        <w:t xml:space="preserve">the implication of this call to sexual purity is costly,</w:t>
      </w:r>
      <w:r>
        <w:t xml:space="preserve">”</w:t>
      </w:r>
      <w:r>
        <w:t xml:space="preserve"> </w:t>
      </w:r>
      <w:r>
        <w:t xml:space="preserve">and that</w:t>
      </w:r>
      <w:r>
        <w:t xml:space="preserve"> </w:t>
      </w:r>
      <w:r>
        <w:t xml:space="preserve">“</w:t>
      </w:r>
      <w:r>
        <w:t xml:space="preserve">the faithful outworking of these statements as congregations is complex and must be navigated with care, humility, courage, and discernment.</w:t>
      </w:r>
      <w:r>
        <w:t xml:space="preserve">”</w:t>
      </w:r>
      <w:r>
        <w:t xml:space="preserve"> </w:t>
      </w:r>
      <w:r>
        <w:t xml:space="preserve">A study committee is the church’s established way of giving districts and pastors that kind of careful guidance. The study would be conducted under the Board’s authority and would report to the Assembly. Adopting it commits the church to study, not to any outcome.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resolution to the 31st General Assembly (2028)</dc:title>
  <dc:creator/>
  <cp:keywords/>
  <dcterms:created xsi:type="dcterms:W3CDTF">2026-09-24T02:09:53Z</dcterms:created>
  <dcterms:modified xsi:type="dcterms:W3CDTF">2026-09-24T02:09:53Z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Study Committee on Pastoral Guidance Concerning Human Sexuality</vt:lpwstr>
  </property>
</Properties>
</file>