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Asking</w:t>
      </w:r>
      <w:r>
        <w:t xml:space="preserve"> </w:t>
      </w:r>
      <w:r>
        <w:t xml:space="preserve">the</w:t>
      </w:r>
      <w:r>
        <w:t xml:space="preserve"> </w:t>
      </w:r>
      <w:r>
        <w:t xml:space="preserve">church</w:t>
      </w:r>
      <w:r>
        <w:t xml:space="preserve"> </w:t>
      </w:r>
      <w:r>
        <w:t xml:space="preserve">to</w:t>
      </w:r>
      <w:r>
        <w:t xml:space="preserve"> </w:t>
      </w:r>
      <w:r>
        <w:t xml:space="preserve">study,</w:t>
      </w:r>
      <w:r>
        <w:t xml:space="preserve"> </w:t>
      </w:r>
      <w:r>
        <w:t xml:space="preserve">as</w:t>
      </w:r>
      <w:r>
        <w:t xml:space="preserve"> </w:t>
      </w:r>
      <w:r>
        <w:t xml:space="preserve">it</w:t>
      </w:r>
      <w:r>
        <w:t xml:space="preserve"> </w:t>
      </w:r>
      <w:r>
        <w:t xml:space="preserve">has</w:t>
      </w:r>
      <w:r>
        <w:t xml:space="preserve"> </w:t>
      </w:r>
      <w:r>
        <w:t xml:space="preserve">before</w:t>
      </w:r>
    </w:p>
    <w:p>
      <w:pPr>
        <w:pStyle w:val="Subtitle"/>
      </w:pPr>
      <w:r>
        <w:t xml:space="preserve">A</w:t>
      </w:r>
      <w:r>
        <w:t xml:space="preserve"> </w:t>
      </w:r>
      <w:r>
        <w:t xml:space="preserve">one-page</w:t>
      </w:r>
      <w:r>
        <w:t xml:space="preserve"> </w:t>
      </w:r>
      <w:r>
        <w:t xml:space="preserve">case</w:t>
      </w:r>
      <w:r>
        <w:t xml:space="preserve"> </w:t>
      </w:r>
      <w:r>
        <w:t xml:space="preserve">for</w:t>
      </w:r>
      <w:r>
        <w:t xml:space="preserve"> </w:t>
      </w:r>
      <w:r>
        <w:t xml:space="preserve">a</w:t>
      </w:r>
      <w:r>
        <w:t xml:space="preserve"> </w:t>
      </w:r>
      <w:r>
        <w:t xml:space="preserve">study-committee</w:t>
      </w:r>
      <w:r>
        <w:t xml:space="preserve"> </w:t>
      </w:r>
      <w:r>
        <w:t xml:space="preserve">resolution</w:t>
      </w:r>
      <w:r>
        <w:t xml:space="preserve"> </w:t>
      </w:r>
      <w:r>
        <w:t xml:space="preserve">to</w:t>
      </w:r>
      <w:r>
        <w:t xml:space="preserve"> </w:t>
      </w:r>
      <w:r>
        <w:t xml:space="preserve">the</w:t>
      </w:r>
      <w:r>
        <w:t xml:space="preserve"> </w:t>
      </w:r>
      <w:r>
        <w:t xml:space="preserve">2028</w:t>
      </w:r>
      <w:r>
        <w:t xml:space="preserve"> </w:t>
      </w:r>
      <w:r>
        <w:t xml:space="preserve">General</w:t>
      </w:r>
      <w:r>
        <w:t xml:space="preserve"> </w:t>
      </w:r>
      <w:r>
        <w:t xml:space="preserve">Assembly</w:t>
      </w:r>
    </w:p>
    <w:p>
      <w:pPr>
        <w:pStyle w:val="FirstParagraph"/>
      </w:pPr>
      <w:r>
        <w:rPr>
          <w:bCs/>
          <w:b/>
        </w:rPr>
        <w:t xml:space="preserve">The ask.</w:t>
      </w:r>
      <w:r>
        <w:t xml:space="preserve"> </w:t>
      </w:r>
      <w:r>
        <w:t xml:space="preserve">A resolution to the 2028 General Assembly asking the Board of General Superintendents to convene a representative study committee on pastoral guidance concerning human sexuality. The committee would report to the next Assembly. The resolution changes nothing in the</w:t>
      </w:r>
      <w:r>
        <w:t xml:space="preserve"> </w:t>
      </w:r>
      <w:r>
        <w:rPr>
          <w:iCs/>
          <w:i/>
        </w:rPr>
        <w:t xml:space="preserve">Manual</w:t>
      </w:r>
      <w:r>
        <w:t xml:space="preserve"> </w:t>
      </w:r>
      <w:r>
        <w:t xml:space="preserve">and presumes no outcome.</w:t>
      </w:r>
    </w:p>
    <w:p>
      <w:pPr>
        <w:pStyle w:val="BodyText"/>
      </w:pPr>
      <w:r>
        <w:rPr>
          <w:bCs/>
          <w:b/>
        </w:rPr>
        <w:t xml:space="preserve">The church has done this before.</w:t>
      </w:r>
    </w:p>
    <w:p>
      <w:pPr>
        <w:numPr>
          <w:ilvl w:val="0"/>
          <w:numId w:val="1001"/>
        </w:numPr>
        <w:pStyle w:val="Compact"/>
      </w:pPr>
      <w:r>
        <w:rPr>
          <w:bCs/>
          <w:b/>
        </w:rPr>
        <w:t xml:space="preserve">1964–1972.</w:t>
      </w:r>
      <w:r>
        <w:t xml:space="preserve"> </w:t>
      </w:r>
      <w:r>
        <w:t xml:space="preserve">Two commissions studied divorce and church membership for eight years. The 1972 General Assembly adopted their report</w:t>
      </w:r>
      <w:r>
        <w:t xml:space="preserve"> </w:t>
      </w:r>
      <w:r>
        <w:t xml:space="preserve">“</w:t>
      </w:r>
      <w:r>
        <w:t xml:space="preserve">almost unanimous[ly],</w:t>
      </w:r>
      <w:r>
        <w:t xml:space="preserve">”</w:t>
      </w:r>
      <w:r>
        <w:t xml:space="preserve"> </w:t>
      </w:r>
      <w:r>
        <w:t xml:space="preserve">opening membership to divorced and remarried people who gave evidence of their regeneration.</w:t>
      </w:r>
    </w:p>
    <w:p>
      <w:pPr>
        <w:numPr>
          <w:ilvl w:val="0"/>
          <w:numId w:val="1001"/>
        </w:numPr>
        <w:pStyle w:val="Compact"/>
      </w:pPr>
      <w:r>
        <w:rPr>
          <w:bCs/>
          <w:b/>
        </w:rPr>
        <w:t xml:space="preserve">1989–1993.</w:t>
      </w:r>
      <w:r>
        <w:t xml:space="preserve"> </w:t>
      </w:r>
      <w:r>
        <w:t xml:space="preserve">When district boards needed guidance on divorced candidates for ordination, the General Board formed a committee. It asked Dr. Alex Deasley of Nazarene Theological Seminary for a paper, reported unanimously, and the 1993 Assembly adopted its recommendations.</w:t>
      </w:r>
    </w:p>
    <w:p>
      <w:pPr>
        <w:pStyle w:val="FirstParagraph"/>
      </w:pPr>
      <w:r>
        <w:t xml:space="preserve">In both cases the church neither drifted nor forced a floor fight. It asked its scholars and pastors to study and report, and then it decided.</w:t>
      </w:r>
    </w:p>
    <w:p>
      <w:pPr>
        <w:pStyle w:val="BodyText"/>
      </w:pPr>
      <w:r>
        <w:rPr>
          <w:bCs/>
          <w:b/>
        </w:rPr>
        <w:t xml:space="preserve">The question is already before the church.</w:t>
      </w:r>
      <w:r>
        <w:t xml:space="preserve"> </w:t>
      </w:r>
      <w:r>
        <w:t xml:space="preserve">Paragraph 31 says the call to sexual purity is</w:t>
      </w:r>
      <w:r>
        <w:t xml:space="preserve"> </w:t>
      </w:r>
      <w:r>
        <w:t xml:space="preserve">“</w:t>
      </w:r>
      <w:r>
        <w:t xml:space="preserve">costly,</w:t>
      </w:r>
      <w:r>
        <w:t xml:space="preserve">”</w:t>
      </w:r>
      <w:r>
        <w:t xml:space="preserve"> </w:t>
      </w:r>
      <w:r>
        <w:t xml:space="preserve">and that living it out in congregations</w:t>
      </w:r>
      <w:r>
        <w:t xml:space="preserve"> </w:t>
      </w:r>
      <w:r>
        <w:t xml:space="preserve">“</w:t>
      </w:r>
      <w:r>
        <w:t xml:space="preserve">is complex and must be navigated with care, humility, courage, and discernment.</w:t>
      </w:r>
      <w:r>
        <w:t xml:space="preserve">”</w:t>
      </w:r>
      <w:r>
        <w:t xml:space="preserve"> </w:t>
      </w:r>
      <w:r>
        <w:t xml:space="preserve">District boards, credentials boards and pastors face real cases now, often without guidance. A 2015 doctoral study of Nazarene pastors found the question</w:t>
      </w:r>
      <w:r>
        <w:t xml:space="preserve"> </w:t>
      </w:r>
      <w:r>
        <w:t xml:space="preserve">“</w:t>
      </w:r>
      <w:r>
        <w:t xml:space="preserve">touched the lives of all the participants,</w:t>
      </w:r>
      <w:r>
        <w:t xml:space="preserve">”</w:t>
      </w:r>
      <w:r>
        <w:t xml:space="preserve"> </w:t>
      </w:r>
      <w:r>
        <w:t xml:space="preserve">and that almost none were reaching out to gay and lesbian people.</w:t>
      </w:r>
    </w:p>
    <w:p>
      <w:pPr>
        <w:pStyle w:val="BodyText"/>
      </w:pPr>
      <w:r>
        <w:rPr>
          <w:bCs/>
          <w:b/>
        </w:rPr>
        <w:t xml:space="preserve">What this resolution is not.</w:t>
      </w:r>
      <w:r>
        <w:t xml:space="preserve"> </w:t>
      </w:r>
      <w:r>
        <w:t xml:space="preserve">It is not a proposal to change paragraph 31. It does not ask anyone to endorse a view. A delegate who holds the church’s present teaching can support it, just as the church studied divorce in 1964 and 1989 while still holding its teaching on marriage. Study under the Board’s authority is how a holiness church does careful thinking together.</w:t>
      </w:r>
    </w:p>
    <w:p>
      <w:pPr>
        <w:pStyle w:val="BodyText"/>
      </w:pPr>
      <w:r>
        <w:rPr>
          <w:bCs/>
          <w:b/>
        </w:rPr>
        <w:t xml:space="preserve">What sponsorship takes.</w:t>
      </w:r>
    </w:p>
    <w:p>
      <w:pPr>
        <w:numPr>
          <w:ilvl w:val="0"/>
          <w:numId w:val="1002"/>
        </w:numPr>
        <w:pStyle w:val="Compact"/>
      </w:pPr>
      <w:r>
        <w:rPr>
          <w:bCs/>
          <w:b/>
        </w:rPr>
        <w:t xml:space="preserve">Who can submit it:</w:t>
      </w:r>
      <w:r>
        <w:t xml:space="preserve"> </w:t>
      </w:r>
      <w:r>
        <w:t xml:space="preserve">a district assembly or district resolutions committee, or any five or more members of the 2028 General Assembly.</w:t>
      </w:r>
    </w:p>
    <w:p>
      <w:pPr>
        <w:numPr>
          <w:ilvl w:val="0"/>
          <w:numId w:val="1002"/>
        </w:numPr>
        <w:pStyle w:val="Compact"/>
      </w:pPr>
      <w:r>
        <w:rPr>
          <w:bCs/>
          <w:b/>
        </w:rPr>
        <w:t xml:space="preserve">Deadline:</w:t>
      </w:r>
      <w:r>
        <w:t xml:space="preserve"> </w:t>
      </w:r>
      <w:r>
        <w:t xml:space="preserve">submitted to the General Secretary by 1 December 2027.</w:t>
      </w:r>
    </w:p>
    <w:p>
      <w:pPr>
        <w:numPr>
          <w:ilvl w:val="0"/>
          <w:numId w:val="1002"/>
        </w:numPr>
        <w:pStyle w:val="Compact"/>
      </w:pPr>
      <w:r>
        <w:rPr>
          <w:bCs/>
          <w:b/>
        </w:rPr>
        <w:t xml:space="preserve">Cost:</w:t>
      </w:r>
      <w:r>
        <w:t xml:space="preserve"> </w:t>
      </w:r>
      <w:r>
        <w:t xml:space="preserve">about $35,000 for the quadrennium, modeled on the calling and ministry study committee the 2023 Assembly approved (JUD-814).</w:t>
      </w:r>
    </w:p>
    <w:p>
      <w:pPr>
        <w:numPr>
          <w:ilvl w:val="0"/>
          <w:numId w:val="1002"/>
        </w:numPr>
        <w:pStyle w:val="Compact"/>
      </w:pPr>
      <w:r>
        <w:rPr>
          <w:bCs/>
          <w:b/>
        </w:rPr>
        <w:t xml:space="preserve">Vote needed:</w:t>
      </w:r>
      <w:r>
        <w:t xml:space="preserve"> </w:t>
      </w:r>
      <w:r>
        <w:t xml:space="preserve">a majority. It is a study request, not a</w:t>
      </w:r>
      <w:r>
        <w:t xml:space="preserve"> </w:t>
      </w:r>
      <w:r>
        <w:rPr>
          <w:iCs/>
          <w:i/>
        </w:rPr>
        <w:t xml:space="preserve">Manual</w:t>
      </w:r>
      <w:r>
        <w:t xml:space="preserve"> </w:t>
      </w:r>
      <w:r>
        <w:t xml:space="preserve">amendment.</w:t>
      </w:r>
    </w:p>
    <w:p>
      <w:pPr>
        <w:numPr>
          <w:ilvl w:val="0"/>
          <w:numId w:val="1002"/>
        </w:numPr>
        <w:pStyle w:val="Compact"/>
      </w:pPr>
      <w:r>
        <w:rPr>
          <w:bCs/>
          <w:b/>
        </w:rPr>
        <w:t xml:space="preserve">Useful now:</w:t>
      </w:r>
      <w:r>
        <w:t xml:space="preserve"> </w:t>
      </w:r>
      <w:r>
        <w:t xml:space="preserve">sponsors from more than one world region, and sponsors who hold the church’s present teaching.</w:t>
      </w:r>
    </w:p>
    <w:p>
      <w:pPr>
        <w:pStyle w:val="FirstParagraph"/>
      </w:pPr>
      <w:r>
        <w:rPr>
          <w:bCs/>
          <w:b/>
        </w:rPr>
        <w:t xml:space="preserve">For more.</w:t>
      </w:r>
      <w:r>
        <w:t xml:space="preserve"> </w:t>
      </w:r>
      <w:r>
        <w:t xml:space="preserve">The 1991 committee paper, the 1993 report and a longer analysis are available on request.</w:t>
      </w:r>
    </w:p>
    <w:p>
      <w:pPr>
        <w:pStyle w:val="BodyText"/>
      </w:pPr>
      <w:r>
        <w:rPr>
          <w:iCs/>
          <w:i/>
        </w:rPr>
        <w:t xml:space="preserve">Sources: Herald of Holiness, July 19, 1972, 16–18; Report of the Divorce and the Ministry Study Committee to the 23rd General Assembly, 1993, 200–206; Journal of the Thirtieth General Assembly, 2023, 14–15, 207; Manual 2023, ¶¶31, 912; R. G. Watson, Regent University PhD dissertation, 2015, 310–311.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Asking the church to study, as it has before</dc:title>
  <dc:creator/>
  <cp:keywords/>
  <dcterms:created xsi:type="dcterms:W3CDTF">2026-09-24T02:09:59Z</dcterms:created>
  <dcterms:modified xsi:type="dcterms:W3CDTF">2026-09-24T02:09:59Z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A one-page case for a study-committee resolution to the 2028 General Assembly</vt:lpwstr>
  </property>
</Properties>
</file>